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97" w:rsidRPr="008444AF" w:rsidRDefault="00D34297" w:rsidP="00D34297">
      <w:pPr>
        <w:rPr>
          <w:b/>
          <w:color w:val="000000"/>
        </w:rPr>
      </w:pPr>
      <w:bookmarkStart w:id="0" w:name="_GoBack"/>
      <w:bookmarkEnd w:id="0"/>
    </w:p>
    <w:p w:rsidR="00D34297" w:rsidRPr="00544972" w:rsidRDefault="00D34297" w:rsidP="00D34297">
      <w:r w:rsidRPr="00963AB2">
        <w:rPr>
          <w:b/>
        </w:rPr>
        <w:t>Title:</w:t>
      </w:r>
      <w:r w:rsidRPr="00544972">
        <w:t xml:space="preserve"> </w:t>
      </w:r>
      <w:r>
        <w:t>MO1D01-A</w:t>
      </w:r>
      <w:r w:rsidRPr="00544972">
        <w:t>: Coral polyp density and water depth.</w:t>
      </w:r>
    </w:p>
    <w:p w:rsidR="00D34297" w:rsidRPr="008444AF" w:rsidRDefault="00D34297" w:rsidP="00D34297">
      <w:pPr>
        <w:rPr>
          <w:color w:val="000000"/>
          <w:sz w:val="22"/>
          <w:szCs w:val="22"/>
        </w:rPr>
      </w:pPr>
      <w:r w:rsidRPr="008444AF">
        <w:rPr>
          <w:b/>
          <w:color w:val="000000"/>
          <w:sz w:val="22"/>
          <w:szCs w:val="22"/>
        </w:rPr>
        <w:t>Keywords:</w:t>
      </w:r>
      <w:r w:rsidRPr="008444AF">
        <w:rPr>
          <w:color w:val="000000"/>
          <w:sz w:val="22"/>
          <w:szCs w:val="22"/>
        </w:rPr>
        <w:t xml:space="preserve"> </w:t>
      </w:r>
      <w:r w:rsidRPr="00D542D0">
        <w:rPr>
          <w:sz w:val="22"/>
          <w:szCs w:val="22"/>
        </w:rPr>
        <w:t>Abiotic</w:t>
      </w:r>
      <w:r w:rsidRPr="00BB2F0F">
        <w:rPr>
          <w:sz w:val="22"/>
          <w:szCs w:val="22"/>
        </w:rPr>
        <w:t xml:space="preserve">; </w:t>
      </w:r>
      <w:r w:rsidRPr="00963AB2">
        <w:rPr>
          <w:sz w:val="22"/>
          <w:szCs w:val="22"/>
        </w:rPr>
        <w:t>adaptation; autotroph; biome; biotic; coral; ecosyste</w:t>
      </w:r>
      <w:r>
        <w:rPr>
          <w:sz w:val="22"/>
          <w:szCs w:val="22"/>
        </w:rPr>
        <w:t>m; heterotroph; limiting factor;</w:t>
      </w:r>
      <w:r w:rsidRPr="00963AB2">
        <w:rPr>
          <w:sz w:val="22"/>
          <w:szCs w:val="22"/>
        </w:rPr>
        <w:t xml:space="preserve"> mutualistic; photosynthesis; population; quadrat; sampling; symbiosis</w:t>
      </w:r>
    </w:p>
    <w:p w:rsidR="00D34297" w:rsidRPr="008444AF" w:rsidRDefault="00D34297" w:rsidP="00D34297">
      <w:pPr>
        <w:pBdr>
          <w:bottom w:val="single" w:sz="12" w:space="1" w:color="auto"/>
        </w:pBdr>
        <w:rPr>
          <w:color w:val="000000"/>
        </w:rPr>
      </w:pPr>
      <w:r w:rsidRPr="008444AF">
        <w:rPr>
          <w:b/>
          <w:color w:val="000000"/>
          <w:sz w:val="22"/>
          <w:szCs w:val="22"/>
        </w:rPr>
        <w:t>Mathematical skills:</w:t>
      </w:r>
      <w:r w:rsidRPr="008444AF">
        <w:rPr>
          <w:color w:val="000000"/>
          <w:sz w:val="22"/>
          <w:szCs w:val="22"/>
        </w:rPr>
        <w:t xml:space="preserve"> Simple calculations, graph drawing and interpretation</w:t>
      </w:r>
      <w:r w:rsidRPr="008444AF">
        <w:rPr>
          <w:color w:val="000000"/>
        </w:rPr>
        <w:t>.</w:t>
      </w:r>
    </w:p>
    <w:p w:rsidR="00D34297" w:rsidRPr="008444AF" w:rsidRDefault="00D34297" w:rsidP="00D34297">
      <w:pPr>
        <w:pBdr>
          <w:bottom w:val="single" w:sz="12" w:space="1" w:color="auto"/>
        </w:pBdr>
        <w:rPr>
          <w:color w:val="000000"/>
        </w:rPr>
      </w:pPr>
    </w:p>
    <w:p w:rsidR="00D34297" w:rsidRDefault="00D34297" w:rsidP="00D34297">
      <w:pPr>
        <w:rPr>
          <w:noProof/>
        </w:rPr>
      </w:pPr>
      <w:proofErr w:type="spellStart"/>
      <w:r>
        <w:rPr>
          <w:i/>
        </w:rPr>
        <w:t>Montastrea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cavernosa</w:t>
      </w:r>
      <w:proofErr w:type="spellEnd"/>
      <w:r>
        <w:rPr>
          <w:i/>
        </w:rPr>
        <w:t xml:space="preserve"> </w:t>
      </w:r>
      <w:r>
        <w:t>is a common Caribbean coral made up of individual polyps/</w:t>
      </w:r>
      <w:proofErr w:type="spellStart"/>
      <w:r>
        <w:t>corallites</w:t>
      </w:r>
      <w:proofErr w:type="spellEnd"/>
      <w:r>
        <w:t>. It is found at varying water depths and its morphology (shape and form) changes as you go deeper underwater.</w:t>
      </w:r>
      <w:r w:rsidRPr="000B4285">
        <w:rPr>
          <w:noProof/>
        </w:rPr>
        <w:t xml:space="preserve"> </w:t>
      </w:r>
    </w:p>
    <w:p w:rsidR="00D34297" w:rsidRDefault="00D34297" w:rsidP="00D34297">
      <w:pPr>
        <w:rPr>
          <w:noProof/>
        </w:rPr>
      </w:pPr>
    </w:p>
    <w:p w:rsidR="00D34297" w:rsidRDefault="00D34297" w:rsidP="00D34297">
      <w:pPr>
        <w:ind w:firstLine="720"/>
      </w:pPr>
      <w:r>
        <w:rPr>
          <w:noProof/>
        </w:rPr>
        <w:t xml:space="preserve">Image 1 – 16m depth                               </w:t>
      </w:r>
      <w:r>
        <w:rPr>
          <w:noProof/>
        </w:rPr>
        <w:tab/>
        <w:t>Image 2 – 5m depth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D34297" w:rsidRPr="008444AF" w:rsidTr="00D64176">
        <w:tc>
          <w:tcPr>
            <w:tcW w:w="4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34297" w:rsidRPr="008444AF" w:rsidRDefault="00D34297" w:rsidP="00D64176">
            <w:pPr>
              <w:pStyle w:val="Header"/>
            </w:pPr>
            <w:r w:rsidRPr="008444AF">
              <w:rPr>
                <w:noProof/>
              </w:rPr>
              <w:drawing>
                <wp:inline distT="0" distB="0" distL="0" distR="0" wp14:anchorId="71B26AF4" wp14:editId="64BE0D85">
                  <wp:extent cx="2209165" cy="2252980"/>
                  <wp:effectExtent l="0" t="0" r="0" b="0"/>
                  <wp:docPr id="4" name="Picture 1" descr="Briefcase:WRL mini-exercises:MO1D01:Photographs:Imag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efcase:WRL mini-exercises:MO1D01:Photographs:Imag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225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34297" w:rsidRPr="008444AF" w:rsidRDefault="00D34297" w:rsidP="00D64176">
            <w:pPr>
              <w:pStyle w:val="Header"/>
            </w:pPr>
            <w:r w:rsidRPr="008444AF">
              <w:rPr>
                <w:noProof/>
              </w:rPr>
              <w:drawing>
                <wp:inline distT="0" distB="0" distL="0" distR="0" wp14:anchorId="6A19A352" wp14:editId="749B723A">
                  <wp:extent cx="2209165" cy="2179955"/>
                  <wp:effectExtent l="0" t="0" r="0" b="0"/>
                  <wp:docPr id="1" name="Picture 4" descr="Briefcase:WRL mini-exercises:MO1D01:Photographs:image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efcase:WRL mini-exercises:MO1D01:Photographs:image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297" w:rsidRDefault="00D34297" w:rsidP="00D34297"/>
    <w:p w:rsidR="00D34297" w:rsidRDefault="00D34297" w:rsidP="00D34297">
      <w:r>
        <w:t xml:space="preserve">The scientist conducting the research constructed a simple plastic quadrat (with dimensions of 8x8cm) which he placed over the coral at a known depth and then counted the number of </w:t>
      </w:r>
      <w:proofErr w:type="spellStart"/>
      <w:r>
        <w:t>corallites</w:t>
      </w:r>
      <w:proofErr w:type="spellEnd"/>
      <w:r>
        <w:t xml:space="preserve"> within the area.</w:t>
      </w:r>
    </w:p>
    <w:p w:rsidR="00D34297" w:rsidRDefault="00D34297" w:rsidP="00D34297"/>
    <w:p w:rsidR="00D34297" w:rsidRDefault="00D34297" w:rsidP="00D34297">
      <w:r>
        <w:t xml:space="preserve">The following table shows the results for the number of </w:t>
      </w:r>
      <w:proofErr w:type="spellStart"/>
      <w:r>
        <w:t>corallites</w:t>
      </w:r>
      <w:proofErr w:type="spellEnd"/>
      <w:r>
        <w:t xml:space="preserve"> per quadrat at different </w:t>
      </w:r>
      <w:proofErr w:type="gramStart"/>
      <w:r>
        <w:t>depths</w:t>
      </w:r>
      <w:proofErr w:type="gramEnd"/>
      <w:r>
        <w:t xml:space="preserve">.  </w:t>
      </w:r>
    </w:p>
    <w:p w:rsidR="00D34297" w:rsidRPr="009B3969" w:rsidRDefault="00D34297" w:rsidP="00D342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305"/>
      </w:tblGrid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b/>
                <w:sz w:val="20"/>
                <w:szCs w:val="20"/>
              </w:rPr>
            </w:pPr>
          </w:p>
          <w:p w:rsidR="00D34297" w:rsidRPr="008444AF" w:rsidRDefault="00D34297" w:rsidP="00D64176">
            <w:pPr>
              <w:jc w:val="center"/>
              <w:rPr>
                <w:b/>
                <w:sz w:val="20"/>
                <w:szCs w:val="20"/>
              </w:rPr>
            </w:pPr>
            <w:r w:rsidRPr="008444AF">
              <w:rPr>
                <w:b/>
                <w:sz w:val="20"/>
                <w:szCs w:val="20"/>
              </w:rPr>
              <w:t>Depth (m)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b/>
                <w:sz w:val="20"/>
                <w:szCs w:val="20"/>
              </w:rPr>
            </w:pPr>
          </w:p>
          <w:p w:rsidR="00D34297" w:rsidRPr="008444AF" w:rsidRDefault="00D34297" w:rsidP="00D64176">
            <w:pPr>
              <w:jc w:val="center"/>
              <w:rPr>
                <w:b/>
                <w:sz w:val="20"/>
                <w:szCs w:val="20"/>
              </w:rPr>
            </w:pPr>
            <w:r w:rsidRPr="008444AF">
              <w:rPr>
                <w:b/>
                <w:sz w:val="20"/>
                <w:szCs w:val="20"/>
              </w:rPr>
              <w:t xml:space="preserve">Number of </w:t>
            </w:r>
            <w:proofErr w:type="spellStart"/>
            <w:r w:rsidRPr="008444AF">
              <w:rPr>
                <w:b/>
                <w:sz w:val="20"/>
                <w:szCs w:val="20"/>
              </w:rPr>
              <w:t>corallites</w:t>
            </w:r>
            <w:proofErr w:type="spellEnd"/>
            <w:r w:rsidRPr="008444AF">
              <w:rPr>
                <w:b/>
                <w:sz w:val="20"/>
                <w:szCs w:val="20"/>
              </w:rPr>
              <w:t xml:space="preserve"> per quadrat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b/>
                <w:sz w:val="20"/>
                <w:szCs w:val="20"/>
              </w:rPr>
            </w:pPr>
          </w:p>
          <w:p w:rsidR="00D34297" w:rsidRPr="008444AF" w:rsidRDefault="00D34297" w:rsidP="00D64176">
            <w:pPr>
              <w:jc w:val="center"/>
              <w:rPr>
                <w:b/>
                <w:sz w:val="20"/>
                <w:szCs w:val="20"/>
              </w:rPr>
            </w:pPr>
            <w:r w:rsidRPr="008444AF">
              <w:rPr>
                <w:b/>
                <w:sz w:val="20"/>
                <w:szCs w:val="20"/>
              </w:rPr>
              <w:t xml:space="preserve">Number of </w:t>
            </w:r>
            <w:proofErr w:type="spellStart"/>
            <w:r w:rsidRPr="008444AF">
              <w:rPr>
                <w:b/>
                <w:sz w:val="20"/>
                <w:szCs w:val="20"/>
              </w:rPr>
              <w:t>corallites</w:t>
            </w:r>
            <w:proofErr w:type="spellEnd"/>
            <w:r w:rsidRPr="008444AF">
              <w:rPr>
                <w:b/>
                <w:sz w:val="20"/>
                <w:szCs w:val="20"/>
              </w:rPr>
              <w:t xml:space="preserve"> 100cm</w:t>
            </w:r>
            <w:r w:rsidRPr="008444AF">
              <w:rPr>
                <w:b/>
                <w:sz w:val="20"/>
                <w:szCs w:val="20"/>
                <w:vertAlign w:val="superscript"/>
              </w:rPr>
              <w:t>-2</w:t>
            </w:r>
          </w:p>
          <w:p w:rsidR="00D34297" w:rsidRPr="008444AF" w:rsidRDefault="00D34297" w:rsidP="00D641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98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74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49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71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51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41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36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43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25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  <w:tr w:rsidR="00D34297" w:rsidRPr="008444AF" w:rsidTr="00D64176">
        <w:tc>
          <w:tcPr>
            <w:tcW w:w="1242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D34297" w:rsidRPr="008444AF" w:rsidRDefault="00D34297" w:rsidP="00D64176">
            <w:pPr>
              <w:jc w:val="center"/>
              <w:rPr>
                <w:sz w:val="22"/>
                <w:szCs w:val="22"/>
              </w:rPr>
            </w:pPr>
            <w:r w:rsidRPr="008444AF">
              <w:rPr>
                <w:sz w:val="22"/>
                <w:szCs w:val="22"/>
              </w:rPr>
              <w:t>40</w:t>
            </w:r>
          </w:p>
        </w:tc>
        <w:tc>
          <w:tcPr>
            <w:tcW w:w="3305" w:type="dxa"/>
            <w:shd w:val="clear" w:color="auto" w:fill="auto"/>
          </w:tcPr>
          <w:p w:rsidR="00D34297" w:rsidRPr="008444AF" w:rsidRDefault="00D34297" w:rsidP="00D64176">
            <w:pPr>
              <w:jc w:val="center"/>
            </w:pPr>
          </w:p>
        </w:tc>
      </w:tr>
    </w:tbl>
    <w:p w:rsidR="00D34297" w:rsidRDefault="00D34297" w:rsidP="00D34297">
      <w:pPr>
        <w:rPr>
          <w:b/>
        </w:rPr>
      </w:pPr>
      <w:r w:rsidRPr="00B46148">
        <w:rPr>
          <w:b/>
        </w:rPr>
        <w:t>Tasks and questions:</w:t>
      </w:r>
    </w:p>
    <w:p w:rsidR="00D34297" w:rsidRPr="00B46148" w:rsidRDefault="00D34297" w:rsidP="00D34297">
      <w:pPr>
        <w:rPr>
          <w:b/>
        </w:rPr>
      </w:pPr>
    </w:p>
    <w:p w:rsidR="00D34297" w:rsidRDefault="00D34297" w:rsidP="00D34297">
      <w:pPr>
        <w:pStyle w:val="ListParagraph"/>
        <w:ind w:left="360"/>
      </w:pPr>
    </w:p>
    <w:p w:rsidR="00D34297" w:rsidRDefault="00D34297" w:rsidP="00D34297">
      <w:pPr>
        <w:pStyle w:val="ListParagraph"/>
        <w:ind w:left="360"/>
      </w:pPr>
    </w:p>
    <w:p w:rsidR="00D34297" w:rsidRDefault="00D34297" w:rsidP="00D34297">
      <w:pPr>
        <w:pStyle w:val="ListParagraph"/>
        <w:ind w:left="360"/>
      </w:pPr>
    </w:p>
    <w:p w:rsidR="00D34297" w:rsidRPr="00EE14B7" w:rsidRDefault="00D34297" w:rsidP="00D34297">
      <w:pPr>
        <w:pStyle w:val="ListParagraph"/>
        <w:numPr>
          <w:ilvl w:val="0"/>
          <w:numId w:val="1"/>
        </w:numPr>
      </w:pPr>
      <w:r>
        <w:t xml:space="preserve">Using the information provided, fill in the right hand column to convert this figure into the number of </w:t>
      </w:r>
      <w:proofErr w:type="spellStart"/>
      <w:r>
        <w:t>corallites</w:t>
      </w:r>
      <w:proofErr w:type="spellEnd"/>
      <w:r>
        <w:t xml:space="preserve"> 100cm</w:t>
      </w:r>
      <w:r>
        <w:rPr>
          <w:vertAlign w:val="superscript"/>
        </w:rPr>
        <w:t>-</w:t>
      </w:r>
      <w:r w:rsidRPr="00D52ABA">
        <w:rPr>
          <w:vertAlign w:val="superscript"/>
        </w:rPr>
        <w:t>2</w:t>
      </w:r>
      <w:r>
        <w:t xml:space="preserve">. </w:t>
      </w:r>
    </w:p>
    <w:p w:rsidR="00D34297" w:rsidRDefault="00D34297" w:rsidP="00D34297">
      <w:pPr>
        <w:pStyle w:val="ListParagraph"/>
        <w:numPr>
          <w:ilvl w:val="0"/>
          <w:numId w:val="1"/>
        </w:numPr>
      </w:pPr>
      <w:r>
        <w:t xml:space="preserve">Why is it useful to convert the number of </w:t>
      </w:r>
      <w:proofErr w:type="spellStart"/>
      <w:r>
        <w:t>corallites</w:t>
      </w:r>
      <w:proofErr w:type="spellEnd"/>
      <w:r>
        <w:t xml:space="preserve"> per quadrat to number of </w:t>
      </w:r>
      <w:proofErr w:type="spellStart"/>
      <w:r>
        <w:t>corallites</w:t>
      </w:r>
      <w:proofErr w:type="spellEnd"/>
      <w:r>
        <w:t xml:space="preserve"> 100cm</w:t>
      </w:r>
      <w:r>
        <w:rPr>
          <w:vertAlign w:val="superscript"/>
        </w:rPr>
        <w:t>-</w:t>
      </w:r>
      <w:r w:rsidRPr="00D52ABA">
        <w:rPr>
          <w:vertAlign w:val="superscript"/>
        </w:rPr>
        <w:t>2</w:t>
      </w:r>
      <w:r>
        <w:t xml:space="preserve">? </w:t>
      </w:r>
    </w:p>
    <w:p w:rsidR="00D34297" w:rsidRPr="00D52ABA" w:rsidRDefault="00D34297" w:rsidP="00D34297">
      <w:pPr>
        <w:pStyle w:val="ListParagraph"/>
        <w:numPr>
          <w:ilvl w:val="0"/>
          <w:numId w:val="1"/>
        </w:numPr>
      </w:pPr>
      <w:r>
        <w:t xml:space="preserve">The scientist took more than one quadrat reading for most depths. Why was </w:t>
      </w:r>
      <w:proofErr w:type="gramStart"/>
      <w:r>
        <w:t>this a</w:t>
      </w:r>
      <w:proofErr w:type="gramEnd"/>
      <w:r>
        <w:t xml:space="preserve"> good idea? </w:t>
      </w:r>
    </w:p>
    <w:p w:rsidR="00D34297" w:rsidRDefault="00D34297" w:rsidP="00D34297">
      <w:pPr>
        <w:pStyle w:val="ListParagraph"/>
        <w:numPr>
          <w:ilvl w:val="0"/>
          <w:numId w:val="1"/>
        </w:numPr>
      </w:pPr>
      <w:r>
        <w:t xml:space="preserve">Plot a suitable graph to show how the </w:t>
      </w:r>
      <w:proofErr w:type="spellStart"/>
      <w:r>
        <w:t>corallite</w:t>
      </w:r>
      <w:proofErr w:type="spellEnd"/>
      <w:r>
        <w:t xml:space="preserve"> density varies with water depth. </w:t>
      </w:r>
    </w:p>
    <w:p w:rsidR="00D34297" w:rsidRDefault="00D34297" w:rsidP="00D34297">
      <w:pPr>
        <w:pStyle w:val="ListParagraph"/>
        <w:numPr>
          <w:ilvl w:val="0"/>
          <w:numId w:val="1"/>
        </w:numPr>
      </w:pPr>
      <w:proofErr w:type="spellStart"/>
      <w:r>
        <w:t>Summarise</w:t>
      </w:r>
      <w:proofErr w:type="spellEnd"/>
      <w:r>
        <w:t xml:space="preserve"> the trends that you can see from these results. </w:t>
      </w:r>
    </w:p>
    <w:p w:rsidR="00D34297" w:rsidRDefault="00D34297" w:rsidP="00D34297">
      <w:pPr>
        <w:pStyle w:val="ListParagraph"/>
        <w:numPr>
          <w:ilvl w:val="0"/>
          <w:numId w:val="1"/>
        </w:numPr>
      </w:pPr>
      <w:r>
        <w:t xml:space="preserve">From your analysis, what abiotic factor do you think is causing the observed variation in </w:t>
      </w:r>
      <w:proofErr w:type="spellStart"/>
      <w:r>
        <w:t>corallite</w:t>
      </w:r>
      <w:proofErr w:type="spellEnd"/>
      <w:r>
        <w:t xml:space="preserve"> number? Can you think of any other abiotic factors that might also cause this relationship? </w:t>
      </w:r>
    </w:p>
    <w:p w:rsidR="00D34297" w:rsidRDefault="00D34297" w:rsidP="00D34297">
      <w:pPr>
        <w:pStyle w:val="ListParagraph"/>
        <w:numPr>
          <w:ilvl w:val="0"/>
          <w:numId w:val="1"/>
        </w:numPr>
      </w:pPr>
      <w:r>
        <w:t xml:space="preserve">Corals are Cnidarians (sea anemone like organisms) that contain photosynthetic unicellular algae. How does this fact help the scientist to understand his findings? </w:t>
      </w:r>
    </w:p>
    <w:p w:rsidR="00D34297" w:rsidRDefault="00D34297" w:rsidP="00D34297">
      <w:pPr>
        <w:pStyle w:val="ListParagraph"/>
        <w:numPr>
          <w:ilvl w:val="0"/>
          <w:numId w:val="1"/>
        </w:numPr>
      </w:pPr>
      <w:r>
        <w:t xml:space="preserve">There is not a perfect correlation between the depth of the coral and the </w:t>
      </w:r>
      <w:proofErr w:type="spellStart"/>
      <w:r>
        <w:t>corallite</w:t>
      </w:r>
      <w:proofErr w:type="spellEnd"/>
      <w:r>
        <w:t xml:space="preserve"> density. Suggest 2 reasons why this might be. </w:t>
      </w:r>
    </w:p>
    <w:p w:rsidR="00D34297" w:rsidRDefault="00D34297" w:rsidP="00D34297"/>
    <w:p w:rsidR="00D34297" w:rsidRPr="009B3969" w:rsidRDefault="00D34297" w:rsidP="00D34297"/>
    <w:p w:rsidR="00D34297" w:rsidRPr="00E8719D" w:rsidRDefault="00D34297" w:rsidP="00D34297"/>
    <w:p w:rsidR="00064CFC" w:rsidRPr="00E8719D" w:rsidRDefault="00064CFC" w:rsidP="00E8719D"/>
    <w:sectPr w:rsidR="00064CFC" w:rsidRPr="00E8719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97" w:rsidRDefault="00D34297" w:rsidP="00D604DB">
      <w:r>
        <w:separator/>
      </w:r>
    </w:p>
  </w:endnote>
  <w:endnote w:type="continuationSeparator" w:id="0">
    <w:p w:rsidR="00D34297" w:rsidRDefault="00D34297" w:rsidP="00D6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08" w:rsidRPr="00E8719D" w:rsidRDefault="00983E08" w:rsidP="00983E08">
    <w:pPr>
      <w:pStyle w:val="Footer"/>
      <w:jc w:val="center"/>
      <w:rPr>
        <w:rFonts w:ascii="Myriad Pro" w:hAnsi="Myriad Pro"/>
        <w:sz w:val="16"/>
        <w:szCs w:val="16"/>
      </w:rPr>
    </w:pPr>
    <w:r w:rsidRPr="00E8719D"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4BB15823" wp14:editId="6D8F1532">
          <wp:simplePos x="0" y="0"/>
          <wp:positionH relativeFrom="leftMargin">
            <wp:align>right</wp:align>
          </wp:positionH>
          <wp:positionV relativeFrom="paragraph">
            <wp:posOffset>-186690</wp:posOffset>
          </wp:positionV>
          <wp:extent cx="809625" cy="809625"/>
          <wp:effectExtent l="0" t="0" r="9525" b="9525"/>
          <wp:wrapTight wrapText="bothSides">
            <wp:wrapPolygon edited="0">
              <wp:start x="6607" y="0"/>
              <wp:lineTo x="0" y="3049"/>
              <wp:lineTo x="0" y="17280"/>
              <wp:lineTo x="5591" y="21346"/>
              <wp:lineTo x="6607" y="21346"/>
              <wp:lineTo x="14739" y="21346"/>
              <wp:lineTo x="15755" y="21346"/>
              <wp:lineTo x="21346" y="17280"/>
              <wp:lineTo x="21346" y="3049"/>
              <wp:lineTo x="14739" y="0"/>
              <wp:lineTo x="6607" y="0"/>
            </wp:wrapPolygon>
          </wp:wrapTight>
          <wp:docPr id="3" name="Picture 3" descr="L:\IMAGE LIBRARY - LAST UPDATED 31 JULY 2013\Logos and maps\Opwall logos\OpWall_circle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MAGE LIBRARY - LAST UPDATED 31 JULY 2013\Logos and maps\Opwall logos\OpWall_circle_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19D">
      <w:rPr>
        <w:rFonts w:ascii="Myriad Pro" w:hAnsi="Myriad Pro"/>
        <w:sz w:val="16"/>
        <w:szCs w:val="16"/>
      </w:rPr>
      <w:t xml:space="preserve">Operation </w:t>
    </w:r>
    <w:proofErr w:type="spellStart"/>
    <w:r w:rsidRPr="00E8719D">
      <w:rPr>
        <w:rFonts w:ascii="Myriad Pro" w:hAnsi="Myriad Pro"/>
        <w:sz w:val="16"/>
        <w:szCs w:val="16"/>
      </w:rPr>
      <w:t>Wallacea</w:t>
    </w:r>
    <w:proofErr w:type="spellEnd"/>
    <w:r w:rsidRPr="00E8719D">
      <w:rPr>
        <w:rFonts w:ascii="Myriad Pro" w:hAnsi="Myriad Pro"/>
        <w:sz w:val="16"/>
        <w:szCs w:val="16"/>
      </w:rPr>
      <w:t xml:space="preserve"> | </w:t>
    </w:r>
    <w:hyperlink r:id="rId2" w:history="1">
      <w:r w:rsidRPr="00E8719D">
        <w:rPr>
          <w:rStyle w:val="Hyperlink"/>
          <w:rFonts w:ascii="Myriad Pro" w:hAnsi="Myriad Pro"/>
          <w:color w:val="auto"/>
          <w:sz w:val="16"/>
          <w:szCs w:val="16"/>
          <w:u w:val="none"/>
        </w:rPr>
        <w:t>www.opwall.com</w:t>
      </w:r>
    </w:hyperlink>
    <w:r w:rsidRPr="00E8719D">
      <w:rPr>
        <w:rFonts w:ascii="Myriad Pro" w:hAnsi="Myriad Pro"/>
        <w:sz w:val="16"/>
        <w:szCs w:val="16"/>
      </w:rPr>
      <w:t xml:space="preserve"> | </w:t>
    </w:r>
    <w:hyperlink r:id="rId3" w:history="1">
      <w:r w:rsidRPr="00E8719D">
        <w:rPr>
          <w:rStyle w:val="Hyperlink"/>
          <w:rFonts w:ascii="Myriad Pro" w:hAnsi="Myriad Pro"/>
          <w:color w:val="auto"/>
          <w:sz w:val="16"/>
          <w:szCs w:val="16"/>
          <w:u w:val="none"/>
        </w:rPr>
        <w:t>info@opwall.com</w:t>
      </w:r>
    </w:hyperlink>
  </w:p>
  <w:p w:rsidR="00E8719D" w:rsidRPr="00E8719D" w:rsidRDefault="002C6524" w:rsidP="00E8719D">
    <w:pPr>
      <w:pStyle w:val="Footer"/>
      <w:rPr>
        <w:rFonts w:ascii="Myriad Pro" w:hAnsi="Myriad Pro"/>
        <w:sz w:val="16"/>
        <w:szCs w:val="16"/>
      </w:rPr>
    </w:pPr>
    <w:r w:rsidRPr="00E8719D">
      <w:rPr>
        <w:rFonts w:ascii="Myriad Pro" w:hAnsi="Myriad Pro"/>
        <w:sz w:val="16"/>
        <w:szCs w:val="16"/>
      </w:rPr>
      <w:t>These dat</w:t>
    </w:r>
    <w:r w:rsidR="00064CFC" w:rsidRPr="00E8719D">
      <w:rPr>
        <w:rFonts w:ascii="Myriad Pro" w:hAnsi="Myriad Pro"/>
        <w:sz w:val="16"/>
        <w:szCs w:val="16"/>
      </w:rPr>
      <w:t>a were gathe</w:t>
    </w:r>
    <w:r w:rsidR="00D848F1">
      <w:rPr>
        <w:rFonts w:ascii="Myriad Pro" w:hAnsi="Myriad Pro"/>
        <w:sz w:val="16"/>
        <w:szCs w:val="16"/>
      </w:rPr>
      <w:t xml:space="preserve">red from the </w:t>
    </w:r>
    <w:proofErr w:type="spellStart"/>
    <w:r w:rsidR="00D848F1">
      <w:rPr>
        <w:rFonts w:ascii="Myriad Pro" w:hAnsi="Myriad Pro"/>
        <w:sz w:val="16"/>
        <w:szCs w:val="16"/>
      </w:rPr>
      <w:t>Opwall</w:t>
    </w:r>
    <w:proofErr w:type="spellEnd"/>
    <w:r w:rsidR="00D848F1">
      <w:rPr>
        <w:rFonts w:ascii="Myriad Pro" w:hAnsi="Myriad Pro"/>
        <w:sz w:val="16"/>
        <w:szCs w:val="16"/>
      </w:rPr>
      <w:t xml:space="preserve"> Honduras</w:t>
    </w:r>
    <w:r w:rsidRPr="00E8719D">
      <w:rPr>
        <w:rFonts w:ascii="Myriad Pro" w:hAnsi="Myriad Pro"/>
        <w:sz w:val="16"/>
        <w:szCs w:val="16"/>
      </w:rPr>
      <w:t xml:space="preserve"> expedition</w:t>
    </w:r>
    <w:r w:rsidRPr="00D848F1">
      <w:rPr>
        <w:rFonts w:ascii="Myriad Pro" w:hAnsi="Myriad Pro"/>
        <w:sz w:val="14"/>
        <w:szCs w:val="14"/>
      </w:rPr>
      <w:t>:</w:t>
    </w:r>
    <w:r w:rsidR="00602D69" w:rsidRPr="00D848F1">
      <w:rPr>
        <w:rFonts w:ascii="Myriad Pro" w:hAnsi="Myriad Pro"/>
        <w:sz w:val="14"/>
        <w:szCs w:val="14"/>
      </w:rPr>
      <w:t xml:space="preserve"> </w:t>
    </w:r>
    <w:hyperlink r:id="rId4" w:history="1">
      <w:r w:rsidR="00D848F1" w:rsidRPr="00590F58">
        <w:rPr>
          <w:rStyle w:val="Hyperlink"/>
          <w:rFonts w:ascii="Myriad Pro" w:hAnsi="Myriad Pro"/>
          <w:sz w:val="14"/>
          <w:szCs w:val="14"/>
        </w:rPr>
        <w:t>http://opwall.com/sixth-form-high-school/locations/honduras-school-expeditions/</w:t>
      </w:r>
    </w:hyperlink>
    <w:r w:rsidR="00D848F1">
      <w:rPr>
        <w:rFonts w:ascii="Myriad Pro" w:hAnsi="Myriad Pro"/>
        <w:sz w:val="14"/>
        <w:szCs w:val="14"/>
      </w:rPr>
      <w:t xml:space="preserve"> </w:t>
    </w:r>
    <w:r w:rsidR="00E8719D" w:rsidRPr="00E8719D">
      <w:rPr>
        <w:rFonts w:ascii="Myriad Pro" w:hAnsi="Myriad Pro"/>
        <w:b/>
        <w:sz w:val="14"/>
        <w:szCs w:val="14"/>
      </w:rPr>
      <w:t>Copyright:</w:t>
    </w:r>
    <w:r w:rsidR="00E8719D" w:rsidRPr="00E8719D">
      <w:rPr>
        <w:rFonts w:ascii="Myriad Pro" w:hAnsi="Myriad Pro"/>
        <w:sz w:val="14"/>
        <w:szCs w:val="14"/>
      </w:rPr>
      <w:t xml:space="preserve"> these resources are the sole property of Operation </w:t>
    </w:r>
    <w:proofErr w:type="spellStart"/>
    <w:r w:rsidR="00E8719D" w:rsidRPr="00E8719D">
      <w:rPr>
        <w:rFonts w:ascii="Myriad Pro" w:hAnsi="Myriad Pro"/>
        <w:sz w:val="14"/>
        <w:szCs w:val="14"/>
      </w:rPr>
      <w:t>Wallacea</w:t>
    </w:r>
    <w:proofErr w:type="spellEnd"/>
    <w:r w:rsidR="00E8719D" w:rsidRPr="00E8719D">
      <w:rPr>
        <w:rFonts w:ascii="Myriad Pro" w:hAnsi="Myriad Pro"/>
        <w:sz w:val="14"/>
        <w:szCs w:val="14"/>
      </w:rPr>
      <w:t xml:space="preserve"> although they may be used freely for educational purposes within the classroom or for internal examinations.  Further use will require permission which can be gained by email.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97" w:rsidRDefault="00D34297" w:rsidP="00D604DB">
      <w:r>
        <w:separator/>
      </w:r>
    </w:p>
  </w:footnote>
  <w:footnote w:type="continuationSeparator" w:id="0">
    <w:p w:rsidR="00D34297" w:rsidRDefault="00D34297" w:rsidP="00D6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DB" w:rsidRDefault="00064CFC" w:rsidP="00064CFC">
    <w:pPr>
      <w:pBdr>
        <w:left w:val="single" w:sz="12" w:space="11" w:color="5B9BD5" w:themeColor="accent1"/>
      </w:pBdr>
      <w:tabs>
        <w:tab w:val="left" w:pos="3620"/>
        <w:tab w:val="left" w:pos="3964"/>
      </w:tabs>
    </w:pPr>
    <w:r w:rsidRPr="00064CFC">
      <w:rPr>
        <w:noProof/>
      </w:rPr>
      <w:drawing>
        <wp:anchor distT="0" distB="0" distL="114300" distR="114300" simplePos="0" relativeHeight="251664384" behindDoc="0" locked="0" layoutInCell="1" allowOverlap="1" wp14:anchorId="3010D103" wp14:editId="102F2EB1">
          <wp:simplePos x="0" y="0"/>
          <wp:positionH relativeFrom="column">
            <wp:posOffset>-723900</wp:posOffset>
          </wp:positionH>
          <wp:positionV relativeFrom="paragraph">
            <wp:posOffset>-248285</wp:posOffset>
          </wp:positionV>
          <wp:extent cx="4248150" cy="614680"/>
          <wp:effectExtent l="0" t="0" r="0" b="0"/>
          <wp:wrapSquare wrapText="bothSides"/>
          <wp:docPr id="7" name="Picture 7" descr="C:\Users\Danielle\Documents\Website\WRL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le\Documents\Website\WRL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DBE"/>
    <w:multiLevelType w:val="hybridMultilevel"/>
    <w:tmpl w:val="247E83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97"/>
    <w:rsid w:val="00064CFC"/>
    <w:rsid w:val="00094862"/>
    <w:rsid w:val="000D33D2"/>
    <w:rsid w:val="002C6524"/>
    <w:rsid w:val="00501D13"/>
    <w:rsid w:val="00602D69"/>
    <w:rsid w:val="0065034C"/>
    <w:rsid w:val="006C657D"/>
    <w:rsid w:val="00752C21"/>
    <w:rsid w:val="007B0692"/>
    <w:rsid w:val="007D7AC8"/>
    <w:rsid w:val="00983E08"/>
    <w:rsid w:val="009A64EA"/>
    <w:rsid w:val="00A43AF4"/>
    <w:rsid w:val="00A8170C"/>
    <w:rsid w:val="00A85D8B"/>
    <w:rsid w:val="00AC3196"/>
    <w:rsid w:val="00C44C12"/>
    <w:rsid w:val="00CD406B"/>
    <w:rsid w:val="00D075B0"/>
    <w:rsid w:val="00D34297"/>
    <w:rsid w:val="00D42E76"/>
    <w:rsid w:val="00D604DB"/>
    <w:rsid w:val="00D848F1"/>
    <w:rsid w:val="00E23581"/>
    <w:rsid w:val="00E8719D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7"/>
    <w:pPr>
      <w:spacing w:after="0" w:line="240" w:lineRule="auto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4DB"/>
  </w:style>
  <w:style w:type="paragraph" w:styleId="Footer">
    <w:name w:val="footer"/>
    <w:basedOn w:val="Normal"/>
    <w:link w:val="FooterChar"/>
    <w:uiPriority w:val="99"/>
    <w:unhideWhenUsed/>
    <w:rsid w:val="00D60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4DB"/>
  </w:style>
  <w:style w:type="character" w:styleId="Hyperlink">
    <w:name w:val="Hyperlink"/>
    <w:basedOn w:val="DefaultParagraphFont"/>
    <w:uiPriority w:val="99"/>
    <w:unhideWhenUsed/>
    <w:rsid w:val="002C65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8719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B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7"/>
    <w:pPr>
      <w:spacing w:after="0" w:line="240" w:lineRule="auto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4DB"/>
  </w:style>
  <w:style w:type="paragraph" w:styleId="Footer">
    <w:name w:val="footer"/>
    <w:basedOn w:val="Normal"/>
    <w:link w:val="FooterChar"/>
    <w:uiPriority w:val="99"/>
    <w:unhideWhenUsed/>
    <w:rsid w:val="00D60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4DB"/>
  </w:style>
  <w:style w:type="character" w:styleId="Hyperlink">
    <w:name w:val="Hyperlink"/>
    <w:basedOn w:val="DefaultParagraphFont"/>
    <w:uiPriority w:val="99"/>
    <w:unhideWhenUsed/>
    <w:rsid w:val="002C65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8719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pwall.com" TargetMode="External"/><Relationship Id="rId2" Type="http://schemas.openxmlformats.org/officeDocument/2006/relationships/hyperlink" Target="http://www.opwall.com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opwall.com/sixth-form-high-school/locations/honduras-school-expe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Documents\Website\WRL\Hondur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B7F9-70A7-44A0-8D0B-8D442E90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Honduras template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Jennifer Ferguson</cp:lastModifiedBy>
  <cp:revision>2</cp:revision>
  <dcterms:created xsi:type="dcterms:W3CDTF">2017-09-05T17:01:00Z</dcterms:created>
  <dcterms:modified xsi:type="dcterms:W3CDTF">2017-09-05T17:01:00Z</dcterms:modified>
</cp:coreProperties>
</file>